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90" w:type="dxa"/>
        <w:tblLook w:val="04A0" w:firstRow="1" w:lastRow="0" w:firstColumn="1" w:lastColumn="0" w:noHBand="0" w:noVBand="1"/>
      </w:tblPr>
      <w:tblGrid>
        <w:gridCol w:w="4899"/>
        <w:gridCol w:w="4792"/>
        <w:gridCol w:w="4889"/>
      </w:tblGrid>
      <w:tr w:rsidR="00F20C6C" w:rsidRPr="0004360F" w:rsidTr="00D375CF">
        <w:trPr>
          <w:trHeight w:val="547"/>
        </w:trPr>
        <w:tc>
          <w:tcPr>
            <w:tcW w:w="1458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7149B" w:rsidRPr="0004360F" w:rsidRDefault="00862F5E" w:rsidP="00283F1F">
            <w:pPr>
              <w:pStyle w:val="Header"/>
              <w:jc w:val="center"/>
              <w:rPr>
                <w:b/>
                <w:bCs/>
                <w:szCs w:val="22"/>
                <w:lang w:val="es-ES"/>
              </w:rPr>
            </w:pPr>
            <w:r w:rsidRPr="0004360F">
              <w:rPr>
                <w:b/>
                <w:bCs/>
                <w:szCs w:val="22"/>
                <w:lang w:val="es-ES"/>
              </w:rPr>
              <w:t xml:space="preserve"> </w:t>
            </w:r>
            <w:r w:rsidR="000D2EC9" w:rsidRPr="0004360F">
              <w:rPr>
                <w:b/>
                <w:bCs/>
                <w:szCs w:val="22"/>
                <w:lang w:val="es-ES"/>
              </w:rPr>
              <w:t>Guía de monitorización para la observación de mejores prácticas en el trabajo con</w:t>
            </w:r>
            <w:r w:rsidR="0023749A" w:rsidRPr="0004360F">
              <w:rPr>
                <w:b/>
                <w:bCs/>
                <w:szCs w:val="22"/>
                <w:lang w:val="es-ES"/>
              </w:rPr>
              <w:t xml:space="preserve"> </w:t>
            </w:r>
            <w:r w:rsidR="000D2EC9" w:rsidRPr="0004360F">
              <w:rPr>
                <w:b/>
                <w:bCs/>
                <w:szCs w:val="22"/>
                <w:lang w:val="es-ES"/>
              </w:rPr>
              <w:t>intérpretes</w:t>
            </w:r>
          </w:p>
          <w:p w:rsidR="00F20C6C" w:rsidRPr="0004360F" w:rsidRDefault="00523BEC" w:rsidP="0023749A">
            <w:pPr>
              <w:pStyle w:val="Header"/>
              <w:jc w:val="both"/>
              <w:rPr>
                <w:i/>
                <w:sz w:val="20"/>
                <w:szCs w:val="20"/>
                <w:lang w:val="es-ES"/>
              </w:rPr>
            </w:pPr>
            <w:r w:rsidRPr="0004360F">
              <w:rPr>
                <w:i/>
                <w:sz w:val="20"/>
                <w:szCs w:val="20"/>
                <w:lang w:val="es-ES"/>
              </w:rPr>
              <w:t>Instrucciones: El m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onitor </w:t>
            </w:r>
            <w:r w:rsidRPr="0004360F">
              <w:rPr>
                <w:i/>
                <w:sz w:val="20"/>
                <w:szCs w:val="20"/>
                <w:lang w:val="es-ES"/>
              </w:rPr>
              <w:t>observará un encuentro con un intérpret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e y dará una puntuación según el</w:t>
            </w:r>
            <w:r w:rsidRPr="0004360F">
              <w:rPr>
                <w:i/>
                <w:sz w:val="20"/>
                <w:szCs w:val="20"/>
                <w:lang w:val="es-ES"/>
              </w:rPr>
              <w:t xml:space="preserve"> siguiente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formulario de evaluación. Seguirá la descripción de cada una de las cuatro categorías de mejores prácticas </w:t>
            </w:r>
            <w:r w:rsidR="0023749A" w:rsidRPr="0004360F">
              <w:rPr>
                <w:i/>
                <w:sz w:val="20"/>
                <w:szCs w:val="20"/>
                <w:lang w:val="es-ES"/>
              </w:rPr>
              <w:t>enumerada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s abajo</w:t>
            </w:r>
            <w:r w:rsidR="005673ED" w:rsidRPr="0004360F">
              <w:rPr>
                <w:i/>
                <w:sz w:val="20"/>
                <w:szCs w:val="20"/>
                <w:lang w:val="es-ES"/>
              </w:rPr>
              <w:t xml:space="preserve">. </w:t>
            </w:r>
            <w:r w:rsidR="0023749A" w:rsidRPr="0004360F">
              <w:rPr>
                <w:i/>
                <w:sz w:val="20"/>
                <w:szCs w:val="20"/>
                <w:lang w:val="es-ES"/>
              </w:rPr>
              <w:t>Se debería tomar la media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 de la puntuación en cada categoría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>,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 y después sumar todas para llegar a una puntuación total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.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Esta evaluación no debería tener en cuenta el </w:t>
            </w:r>
            <w:r w:rsidR="00E65A57" w:rsidRPr="0004360F">
              <w:rPr>
                <w:i/>
                <w:sz w:val="20"/>
                <w:szCs w:val="20"/>
                <w:lang w:val="es-ES"/>
              </w:rPr>
              <w:t>desempeño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 del intérprete. </w:t>
            </w:r>
            <w:r w:rsidR="0023749A" w:rsidRPr="0004360F">
              <w:rPr>
                <w:i/>
                <w:sz w:val="20"/>
                <w:szCs w:val="20"/>
                <w:lang w:val="es-ES"/>
              </w:rPr>
              <w:t>La puntuación máxima total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 es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 12,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y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 11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 xml:space="preserve">es la puntuación mínima para una clasificación de </w:t>
            </w:r>
            <w:r w:rsidR="007C6E65" w:rsidRPr="0004360F">
              <w:rPr>
                <w:i/>
                <w:sz w:val="20"/>
                <w:szCs w:val="20"/>
                <w:lang w:val="es-ES"/>
              </w:rPr>
              <w:t>E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>vident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e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.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Cualquier puntuación de</w:t>
            </w:r>
            <w:r w:rsidR="0023749A" w:rsidRPr="0004360F">
              <w:rPr>
                <w:i/>
                <w:sz w:val="20"/>
                <w:szCs w:val="20"/>
                <w:lang w:val="es-ES"/>
              </w:rPr>
              <w:t xml:space="preserve"> 7,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5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o más</w:t>
            </w:r>
            <w:r w:rsidR="0057149B" w:rsidRPr="0004360F">
              <w:rPr>
                <w:i/>
                <w:sz w:val="20"/>
                <w:szCs w:val="20"/>
                <w:lang w:val="es-ES"/>
              </w:rPr>
              <w:t xml:space="preserve"> </w:t>
            </w:r>
            <w:r w:rsidR="00A518C5" w:rsidRPr="0004360F">
              <w:rPr>
                <w:i/>
                <w:sz w:val="20"/>
                <w:szCs w:val="20"/>
                <w:lang w:val="es-ES"/>
              </w:rPr>
              <w:t>se debería considerar dentro del rango de buenas prácticas a no ser que el PROVEEDOR saca una nota de No Evidente en más de uno de los criterios en la categoría 2.</w:t>
            </w:r>
            <w:r w:rsidR="00343CAA" w:rsidRPr="0004360F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EC404C" w:rsidRPr="0004360F" w:rsidTr="00D375CF">
        <w:trPr>
          <w:trHeight w:val="547"/>
        </w:trPr>
        <w:tc>
          <w:tcPr>
            <w:tcW w:w="145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EC404C" w:rsidRPr="0004360F" w:rsidRDefault="00EC404C" w:rsidP="00EC404C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 xml:space="preserve">1.  Control </w:t>
            </w:r>
            <w:r w:rsidR="002C5DF3" w:rsidRPr="0004360F">
              <w:rPr>
                <w:sz w:val="20"/>
                <w:szCs w:val="20"/>
                <w:lang w:val="es-ES"/>
              </w:rPr>
              <w:t>del espacio</w:t>
            </w:r>
          </w:p>
          <w:p w:rsidR="00EC404C" w:rsidRPr="0004360F" w:rsidRDefault="002C5DF3" w:rsidP="002C5DF3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EL PROVEEDOR</w:t>
            </w:r>
            <w:r w:rsidR="00EC404C" w:rsidRPr="0004360F">
              <w:rPr>
                <w:sz w:val="20"/>
                <w:szCs w:val="20"/>
                <w:lang w:val="es-ES"/>
              </w:rPr>
              <w:t xml:space="preserve"> </w:t>
            </w:r>
            <w:r w:rsidRPr="0004360F">
              <w:rPr>
                <w:sz w:val="20"/>
                <w:szCs w:val="20"/>
                <w:lang w:val="es-ES"/>
              </w:rPr>
              <w:t>maneja el espacio para optimizar la comunicación y la conexión entre el cliente y el proveedor</w:t>
            </w:r>
            <w:r w:rsidR="00EC404C" w:rsidRPr="0004360F">
              <w:rPr>
                <w:sz w:val="20"/>
                <w:szCs w:val="20"/>
                <w:lang w:val="es-ES"/>
              </w:rPr>
              <w:t xml:space="preserve">, </w:t>
            </w:r>
            <w:r w:rsidRPr="0004360F">
              <w:rPr>
                <w:sz w:val="20"/>
                <w:szCs w:val="20"/>
                <w:lang w:val="es-ES"/>
              </w:rPr>
              <w:t>y para limitar de forma adecuada el contacto entre el intérprete y el cliente.</w:t>
            </w:r>
          </w:p>
        </w:tc>
      </w:tr>
      <w:tr w:rsidR="00C03573" w:rsidRPr="0004360F" w:rsidTr="00D375CF"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03573" w:rsidRPr="0004360F" w:rsidRDefault="00C03573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Evident</w:t>
            </w:r>
            <w:r w:rsidR="00751EEC" w:rsidRPr="0004360F">
              <w:rPr>
                <w:sz w:val="20"/>
                <w:szCs w:val="20"/>
                <w:lang w:val="es-ES"/>
              </w:rPr>
              <w:t>e</w:t>
            </w:r>
            <w:r w:rsidRPr="0004360F">
              <w:rPr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3573" w:rsidRPr="0004360F" w:rsidRDefault="00751EEC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Mayormente</w:t>
            </w:r>
            <w:r w:rsidR="00C03573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C03573" w:rsidRPr="0004360F">
              <w:rPr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03573" w:rsidRPr="0004360F" w:rsidRDefault="00751EEC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No</w:t>
            </w:r>
            <w:r w:rsidR="00C03573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C03573" w:rsidRPr="0004360F">
              <w:rPr>
                <w:sz w:val="20"/>
                <w:szCs w:val="20"/>
                <w:lang w:val="es-ES"/>
              </w:rPr>
              <w:t xml:space="preserve"> (1)</w:t>
            </w:r>
          </w:p>
        </w:tc>
      </w:tr>
      <w:tr w:rsidR="00C03573" w:rsidRPr="0004360F" w:rsidTr="00D375CF"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03573" w:rsidRPr="0004360F" w:rsidRDefault="002C5DF3" w:rsidP="00B52A2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 xml:space="preserve">EL PROVEEDOR asegura que el intérprete y </w:t>
            </w:r>
            <w:r w:rsidR="00F93FB2" w:rsidRPr="0004360F">
              <w:rPr>
                <w:sz w:val="18"/>
                <w:szCs w:val="18"/>
                <w:lang w:val="es-ES"/>
              </w:rPr>
              <w:t>el</w:t>
            </w:r>
            <w:r w:rsidR="00FB033B" w:rsidRPr="0004360F">
              <w:rPr>
                <w:sz w:val="18"/>
                <w:szCs w:val="18"/>
                <w:lang w:val="es-ES"/>
              </w:rPr>
              <w:t xml:space="preserve"> </w:t>
            </w:r>
            <w:r w:rsidR="00F93FB2" w:rsidRPr="0004360F">
              <w:rPr>
                <w:sz w:val="18"/>
                <w:szCs w:val="18"/>
                <w:lang w:val="es-ES"/>
              </w:rPr>
              <w:t xml:space="preserve">(los) </w:t>
            </w:r>
            <w:r w:rsidR="00FB033B" w:rsidRPr="0004360F">
              <w:rPr>
                <w:sz w:val="18"/>
                <w:szCs w:val="18"/>
                <w:lang w:val="es-ES"/>
              </w:rPr>
              <w:t>cliente(s)</w:t>
            </w:r>
            <w:r w:rsidR="00C03573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están en una posición adecuada a lo largo del encuentro</w:t>
            </w:r>
            <w:r w:rsidR="00C03573" w:rsidRPr="0004360F">
              <w:rPr>
                <w:sz w:val="18"/>
                <w:szCs w:val="18"/>
                <w:lang w:val="es-ES"/>
              </w:rPr>
              <w:t xml:space="preserve">, </w:t>
            </w:r>
            <w:r w:rsidR="00FB033B" w:rsidRPr="0004360F">
              <w:rPr>
                <w:sz w:val="18"/>
                <w:szCs w:val="18"/>
                <w:lang w:val="es-ES"/>
              </w:rPr>
              <w:t>moviendo a</w:t>
            </w:r>
            <w:r w:rsidRPr="0004360F">
              <w:rPr>
                <w:sz w:val="18"/>
                <w:szCs w:val="18"/>
                <w:lang w:val="es-ES"/>
              </w:rPr>
              <w:t>l intérprete si fuera necesario</w:t>
            </w:r>
            <w:r w:rsidR="00C03573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2C5DF3" w:rsidP="002C5DF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PROVEEDER nunca deja al intérprete y al cliente a solas.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3573" w:rsidRPr="0004360F" w:rsidRDefault="00BC66B1" w:rsidP="00B52A2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ejerce un control adecuado sobre el espacio físico al principio del encuentro</w:t>
            </w:r>
            <w:r w:rsidR="00C03573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BC66B1" w:rsidP="00BC66B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nunca deja al intérprete y al cliente a solas.</w:t>
            </w:r>
            <w:r w:rsidR="00657416" w:rsidRPr="0004360F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03573" w:rsidRPr="0004360F" w:rsidRDefault="00BC66B1" w:rsidP="00B52A2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no ejerce un control adecuado sobre el espacio físico</w:t>
            </w:r>
            <w:r w:rsidR="0017228D" w:rsidRPr="0004360F">
              <w:rPr>
                <w:sz w:val="18"/>
                <w:szCs w:val="18"/>
                <w:lang w:val="es-ES"/>
              </w:rPr>
              <w:t xml:space="preserve">, </w:t>
            </w:r>
            <w:r w:rsidRPr="0004360F">
              <w:rPr>
                <w:sz w:val="18"/>
                <w:szCs w:val="18"/>
                <w:lang w:val="es-ES"/>
              </w:rPr>
              <w:t>dejando que los participantes elijan los asientos</w:t>
            </w:r>
            <w:r w:rsidR="00F0617C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BC66B1" w:rsidP="00BC66B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deja al intérprete y al cliente a solas</w:t>
            </w:r>
            <w:r w:rsidR="00C03573" w:rsidRPr="0004360F">
              <w:rPr>
                <w:sz w:val="18"/>
                <w:szCs w:val="18"/>
                <w:lang w:val="es-ES"/>
              </w:rPr>
              <w:t>.</w:t>
            </w:r>
          </w:p>
        </w:tc>
      </w:tr>
      <w:tr w:rsidR="00F20C6C" w:rsidRPr="0004360F" w:rsidTr="00D375CF">
        <w:trPr>
          <w:trHeight w:val="547"/>
        </w:trPr>
        <w:tc>
          <w:tcPr>
            <w:tcW w:w="14580" w:type="dxa"/>
            <w:gridSpan w:val="3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20C6C" w:rsidRPr="0004360F" w:rsidRDefault="00F20C6C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 xml:space="preserve">2. </w:t>
            </w:r>
            <w:r w:rsidR="006655DA" w:rsidRPr="0004360F">
              <w:rPr>
                <w:sz w:val="20"/>
                <w:szCs w:val="20"/>
                <w:lang w:val="es-ES"/>
              </w:rPr>
              <w:t>Manejo y control del encuentro</w:t>
            </w:r>
          </w:p>
          <w:p w:rsidR="00F20C6C" w:rsidRPr="0004360F" w:rsidRDefault="006655DA" w:rsidP="006655DA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EL PROVEEDER maneja de forma adecuada el encuentro</w:t>
            </w:r>
            <w:r w:rsidR="008F3CDF" w:rsidRPr="0004360F">
              <w:rPr>
                <w:sz w:val="20"/>
                <w:szCs w:val="20"/>
                <w:lang w:val="es-ES"/>
              </w:rPr>
              <w:t xml:space="preserve">, </w:t>
            </w:r>
            <w:r w:rsidR="00FB033B" w:rsidRPr="0004360F">
              <w:rPr>
                <w:sz w:val="20"/>
                <w:szCs w:val="20"/>
                <w:lang w:val="es-ES"/>
              </w:rPr>
              <w:t>a</w:t>
            </w:r>
            <w:r w:rsidRPr="0004360F">
              <w:rPr>
                <w:sz w:val="20"/>
                <w:szCs w:val="20"/>
                <w:lang w:val="es-ES"/>
              </w:rPr>
              <w:t>l intérprete</w:t>
            </w:r>
            <w:r w:rsidR="008F3CDF" w:rsidRPr="0004360F">
              <w:rPr>
                <w:sz w:val="20"/>
                <w:szCs w:val="20"/>
                <w:lang w:val="es-ES"/>
              </w:rPr>
              <w:t xml:space="preserve">, </w:t>
            </w:r>
            <w:r w:rsidR="00FB033B" w:rsidRPr="0004360F">
              <w:rPr>
                <w:sz w:val="20"/>
                <w:szCs w:val="20"/>
                <w:lang w:val="es-ES"/>
              </w:rPr>
              <w:t>y a</w:t>
            </w:r>
            <w:r w:rsidRPr="0004360F">
              <w:rPr>
                <w:sz w:val="20"/>
                <w:szCs w:val="20"/>
                <w:lang w:val="es-ES"/>
              </w:rPr>
              <w:t>l cliente</w:t>
            </w:r>
            <w:r w:rsidR="00EC404C" w:rsidRPr="0004360F">
              <w:rPr>
                <w:sz w:val="20"/>
                <w:szCs w:val="20"/>
                <w:lang w:val="es-ES"/>
              </w:rPr>
              <w:t xml:space="preserve">, </w:t>
            </w:r>
            <w:r w:rsidRPr="0004360F">
              <w:rPr>
                <w:sz w:val="20"/>
                <w:szCs w:val="20"/>
                <w:lang w:val="es-ES"/>
              </w:rPr>
              <w:t>guiando según sea necesario para fomentar una comunicación óptima</w:t>
            </w:r>
            <w:r w:rsidR="008F3CDF" w:rsidRPr="0004360F">
              <w:rPr>
                <w:sz w:val="20"/>
                <w:szCs w:val="20"/>
                <w:lang w:val="es-ES"/>
              </w:rPr>
              <w:t>.</w:t>
            </w:r>
          </w:p>
        </w:tc>
      </w:tr>
      <w:tr w:rsidR="00C03573" w:rsidRPr="0004360F" w:rsidTr="00D375CF"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03573" w:rsidRPr="0004360F" w:rsidRDefault="00F8604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Evident</w:t>
            </w:r>
            <w:r w:rsidR="007C6E65" w:rsidRPr="0004360F">
              <w:rPr>
                <w:sz w:val="20"/>
                <w:szCs w:val="20"/>
                <w:lang w:val="es-ES"/>
              </w:rPr>
              <w:t>e</w:t>
            </w:r>
            <w:r w:rsidR="003F3E7E" w:rsidRPr="0004360F">
              <w:rPr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3573" w:rsidRPr="0004360F" w:rsidRDefault="007C6E6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Mayormente</w:t>
            </w:r>
            <w:r w:rsidR="00F86045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3F3E7E" w:rsidRPr="0004360F">
              <w:rPr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03573" w:rsidRPr="0004360F" w:rsidRDefault="007C6E6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No</w:t>
            </w:r>
            <w:r w:rsidR="003F3E7E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3F3E7E" w:rsidRPr="0004360F">
              <w:rPr>
                <w:sz w:val="20"/>
                <w:szCs w:val="20"/>
                <w:lang w:val="es-ES"/>
              </w:rPr>
              <w:t xml:space="preserve"> (1)</w:t>
            </w:r>
          </w:p>
        </w:tc>
      </w:tr>
      <w:tr w:rsidR="00C03573" w:rsidRPr="0004360F" w:rsidTr="00D375CF"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F731DF" w:rsidRPr="0004360F" w:rsidRDefault="007F2F9D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comunica al principio del encuentro todas las expectativas para una buena comunicación.</w:t>
            </w:r>
          </w:p>
          <w:p w:rsidR="00C03573" w:rsidRPr="0004360F" w:rsidRDefault="00F93FB2" w:rsidP="00B52A2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controla de forma eficaz el flujo de comunicación entre todos los participantes y maneja y responde de manera apropiada a cualquier problema</w:t>
            </w:r>
            <w:r w:rsidR="0017228D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F93FB2" w:rsidP="00B52A2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guía a todos los participantes con instrucciones definidas ante cualquier fallo de comunicación.</w:t>
            </w:r>
          </w:p>
          <w:p w:rsidR="00F731DF" w:rsidRPr="0004360F" w:rsidRDefault="00F93FB2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se comunica y se relaciona con el cliente a través del intérprete</w:t>
            </w:r>
            <w:r w:rsidR="00F731DF" w:rsidRPr="0004360F">
              <w:rPr>
                <w:sz w:val="18"/>
                <w:szCs w:val="18"/>
                <w:lang w:val="es-ES"/>
              </w:rPr>
              <w:t>.</w:t>
            </w:r>
          </w:p>
          <w:p w:rsidR="00EC404C" w:rsidRPr="0004360F" w:rsidRDefault="00F93FB2" w:rsidP="00F93FB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respeta y limita de manera apropiada el papel del intérprete</w:t>
            </w:r>
            <w:r w:rsidR="00EC404C" w:rsidRPr="0004360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731DF" w:rsidRPr="0004360F" w:rsidRDefault="00CC4C30" w:rsidP="00CC4C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u w:val="single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 xml:space="preserve">EL PROVEEDOR comunica al principio del encuentro todas las expectativas para una buena comunicación. </w:t>
            </w:r>
            <w:r w:rsidR="00FB033B" w:rsidRPr="0004360F">
              <w:rPr>
                <w:sz w:val="18"/>
                <w:szCs w:val="18"/>
                <w:lang w:val="es-ES"/>
              </w:rPr>
              <w:t>Algunas instrucciones puede que vengan más tarde de forma reactiva.</w:t>
            </w:r>
          </w:p>
          <w:p w:rsidR="00C03573" w:rsidRPr="0004360F" w:rsidRDefault="00F93FB2" w:rsidP="00B52A2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generalmente controla el flujo de comunicación y responde de manera apropiada, aunque en alguna ocasión puede que haya frases demasiado largas o que se pierda algo de la comunicación cuando haya más de una persona hablando a la vez.</w:t>
            </w:r>
          </w:p>
          <w:p w:rsidR="00F731DF" w:rsidRPr="0004360F" w:rsidRDefault="00F93FB2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se comunica y se relaciona con el cliente a través del intérprete, con pocos fallos</w:t>
            </w:r>
            <w:r w:rsidR="00FB033B" w:rsidRPr="0004360F">
              <w:rPr>
                <w:sz w:val="18"/>
                <w:szCs w:val="18"/>
                <w:lang w:val="es-ES"/>
              </w:rPr>
              <w:t>.</w:t>
            </w:r>
          </w:p>
          <w:p w:rsidR="00EC404C" w:rsidRPr="0004360F" w:rsidRDefault="00F93FB2" w:rsidP="00EC404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generalmente respeta y limita de manera apropiada el papel del intérprete.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F731DF" w:rsidRPr="0004360F" w:rsidRDefault="00CC4C30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comunica con los participantes algunas de las expectativas para una buena comunicación</w:t>
            </w:r>
            <w:r w:rsidR="00F731DF" w:rsidRPr="0004360F">
              <w:rPr>
                <w:sz w:val="18"/>
                <w:szCs w:val="18"/>
                <w:lang w:val="es-ES"/>
              </w:rPr>
              <w:t xml:space="preserve">, </w:t>
            </w:r>
            <w:r w:rsidRPr="0004360F">
              <w:rPr>
                <w:sz w:val="18"/>
                <w:szCs w:val="18"/>
                <w:lang w:val="es-ES"/>
              </w:rPr>
              <w:t>pero puede que la información sea reactiva, poco clara o incompleta</w:t>
            </w:r>
            <w:r w:rsidR="00F731DF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CC4C30" w:rsidP="00B52A2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</w:t>
            </w:r>
            <w:r w:rsidR="00862480" w:rsidRPr="0004360F">
              <w:rPr>
                <w:sz w:val="18"/>
                <w:szCs w:val="18"/>
                <w:lang w:val="es-ES"/>
              </w:rPr>
              <w:t>R</w:t>
            </w:r>
            <w:r w:rsidR="0086783B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pierde control a menudo sobre el flujo de</w:t>
            </w:r>
            <w:r w:rsidR="00FB033B" w:rsidRPr="0004360F">
              <w:rPr>
                <w:sz w:val="18"/>
                <w:szCs w:val="18"/>
                <w:lang w:val="es-ES"/>
              </w:rPr>
              <w:t xml:space="preserve"> la</w:t>
            </w:r>
            <w:r w:rsidRPr="0004360F">
              <w:rPr>
                <w:sz w:val="18"/>
                <w:szCs w:val="18"/>
                <w:lang w:val="es-ES"/>
              </w:rPr>
              <w:t xml:space="preserve"> comunicación</w:t>
            </w:r>
            <w:r w:rsidR="00C03573" w:rsidRPr="0004360F">
              <w:rPr>
                <w:sz w:val="18"/>
                <w:szCs w:val="18"/>
                <w:lang w:val="es-ES"/>
              </w:rPr>
              <w:t xml:space="preserve">. </w:t>
            </w:r>
            <w:r w:rsidRPr="0004360F">
              <w:rPr>
                <w:sz w:val="18"/>
                <w:szCs w:val="18"/>
                <w:lang w:val="es-ES"/>
              </w:rPr>
              <w:t xml:space="preserve">Puede que intente </w:t>
            </w:r>
            <w:r w:rsidR="002315FD" w:rsidRPr="0004360F">
              <w:rPr>
                <w:sz w:val="18"/>
                <w:szCs w:val="18"/>
                <w:lang w:val="es-ES"/>
              </w:rPr>
              <w:t>ejercer</w:t>
            </w:r>
            <w:r w:rsidRPr="0004360F">
              <w:rPr>
                <w:sz w:val="18"/>
                <w:szCs w:val="18"/>
                <w:lang w:val="es-ES"/>
              </w:rPr>
              <w:t xml:space="preserve"> </w:t>
            </w:r>
            <w:r w:rsidR="00C74F05" w:rsidRPr="0004360F">
              <w:rPr>
                <w:sz w:val="18"/>
                <w:szCs w:val="18"/>
                <w:lang w:val="es-ES"/>
              </w:rPr>
              <w:t>control pero sus esfuerzos suelen ser ineficaces</w:t>
            </w:r>
            <w:r w:rsidR="00FB033B" w:rsidRPr="0004360F">
              <w:rPr>
                <w:sz w:val="18"/>
                <w:szCs w:val="18"/>
                <w:lang w:val="es-ES"/>
              </w:rPr>
              <w:t>.</w:t>
            </w:r>
          </w:p>
          <w:p w:rsidR="00F731DF" w:rsidRPr="0004360F" w:rsidRDefault="002315FD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se relaciona con el intérprete en vez de con el cliente</w:t>
            </w:r>
            <w:r w:rsidR="00F731DF" w:rsidRPr="0004360F">
              <w:rPr>
                <w:sz w:val="18"/>
                <w:szCs w:val="18"/>
                <w:lang w:val="es-ES"/>
              </w:rPr>
              <w:t>.</w:t>
            </w:r>
          </w:p>
          <w:p w:rsidR="00F731DF" w:rsidRPr="0004360F" w:rsidRDefault="002315FD" w:rsidP="002315F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hace preguntas al intérprete o le pide resolver problemas</w:t>
            </w:r>
            <w:r w:rsidR="009643A2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más allá del papel del intérprete.</w:t>
            </w:r>
          </w:p>
        </w:tc>
      </w:tr>
      <w:tr w:rsidR="00F20C6C" w:rsidRPr="0004360F" w:rsidTr="00D375CF">
        <w:trPr>
          <w:trHeight w:val="547"/>
        </w:trPr>
        <w:tc>
          <w:tcPr>
            <w:tcW w:w="14580" w:type="dxa"/>
            <w:gridSpan w:val="3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F20C6C" w:rsidRPr="0004360F" w:rsidRDefault="00F20C6C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 xml:space="preserve">3. </w:t>
            </w:r>
            <w:r w:rsidR="00E65A57" w:rsidRPr="0004360F">
              <w:rPr>
                <w:sz w:val="20"/>
                <w:szCs w:val="20"/>
                <w:lang w:val="es-ES"/>
              </w:rPr>
              <w:t>Uso del l</w:t>
            </w:r>
            <w:r w:rsidR="00084455" w:rsidRPr="0004360F">
              <w:rPr>
                <w:sz w:val="20"/>
                <w:szCs w:val="20"/>
                <w:lang w:val="es-ES"/>
              </w:rPr>
              <w:t>enguaje</w:t>
            </w:r>
          </w:p>
          <w:p w:rsidR="00F20C6C" w:rsidRPr="0004360F" w:rsidRDefault="00084455" w:rsidP="00090C48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EL PROVE</w:t>
            </w:r>
            <w:r w:rsidR="00090C48" w:rsidRPr="0004360F">
              <w:rPr>
                <w:sz w:val="20"/>
                <w:szCs w:val="20"/>
                <w:lang w:val="es-ES"/>
              </w:rPr>
              <w:t>EDOR adapta su lenguaje y forma de hablar</w:t>
            </w:r>
            <w:r w:rsidRPr="0004360F">
              <w:rPr>
                <w:sz w:val="20"/>
                <w:szCs w:val="20"/>
                <w:lang w:val="es-ES"/>
              </w:rPr>
              <w:t xml:space="preserve"> según </w:t>
            </w:r>
            <w:r w:rsidR="00090C48" w:rsidRPr="0004360F">
              <w:rPr>
                <w:sz w:val="20"/>
                <w:szCs w:val="20"/>
                <w:lang w:val="es-ES"/>
              </w:rPr>
              <w:t>las necesidades y habilidades del cliente e intérprete</w:t>
            </w:r>
            <w:r w:rsidR="00F731DF" w:rsidRPr="0004360F">
              <w:rPr>
                <w:sz w:val="20"/>
                <w:szCs w:val="20"/>
                <w:lang w:val="es-ES"/>
              </w:rPr>
              <w:t>.</w:t>
            </w:r>
          </w:p>
        </w:tc>
      </w:tr>
      <w:tr w:rsidR="00C03573" w:rsidRPr="0004360F" w:rsidTr="00D375CF"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03573" w:rsidRPr="0004360F" w:rsidRDefault="00F8604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Evident</w:t>
            </w:r>
            <w:r w:rsidR="007C6E65" w:rsidRPr="0004360F">
              <w:rPr>
                <w:sz w:val="20"/>
                <w:szCs w:val="20"/>
                <w:lang w:val="es-ES"/>
              </w:rPr>
              <w:t>e</w:t>
            </w:r>
            <w:r w:rsidRPr="0004360F">
              <w:rPr>
                <w:sz w:val="20"/>
                <w:szCs w:val="20"/>
                <w:lang w:val="es-ES"/>
              </w:rPr>
              <w:t xml:space="preserve"> </w:t>
            </w:r>
            <w:r w:rsidR="003F3E7E" w:rsidRPr="0004360F">
              <w:rPr>
                <w:sz w:val="20"/>
                <w:szCs w:val="20"/>
                <w:lang w:val="es-ES"/>
              </w:rPr>
              <w:t>(3)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3573" w:rsidRPr="0004360F" w:rsidRDefault="007C6E6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Mayormente</w:t>
            </w:r>
            <w:r w:rsidR="00F86045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3F3E7E" w:rsidRPr="0004360F">
              <w:rPr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03573" w:rsidRPr="0004360F" w:rsidRDefault="003F3E7E" w:rsidP="007C6E65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No evident</w:t>
            </w:r>
            <w:r w:rsidR="007C6E65" w:rsidRPr="0004360F">
              <w:rPr>
                <w:sz w:val="20"/>
                <w:szCs w:val="20"/>
                <w:lang w:val="es-ES"/>
              </w:rPr>
              <w:t>e</w:t>
            </w:r>
            <w:r w:rsidRPr="0004360F">
              <w:rPr>
                <w:sz w:val="20"/>
                <w:szCs w:val="20"/>
                <w:lang w:val="es-ES"/>
              </w:rPr>
              <w:t xml:space="preserve"> (1)</w:t>
            </w:r>
          </w:p>
        </w:tc>
      </w:tr>
      <w:tr w:rsidR="00C03573" w:rsidRPr="0004360F" w:rsidTr="00D375CF">
        <w:trPr>
          <w:trHeight w:val="962"/>
        </w:trPr>
        <w:tc>
          <w:tcPr>
            <w:tcW w:w="489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03573" w:rsidRPr="0004360F" w:rsidRDefault="00B51368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</w:t>
            </w:r>
            <w:r w:rsidR="00C74F05" w:rsidRPr="0004360F">
              <w:rPr>
                <w:sz w:val="18"/>
                <w:szCs w:val="18"/>
                <w:lang w:val="es-ES"/>
              </w:rPr>
              <w:t>R usa vocabulario apropiado y fá</w:t>
            </w:r>
            <w:r w:rsidR="00FB033B" w:rsidRPr="0004360F">
              <w:rPr>
                <w:sz w:val="18"/>
                <w:szCs w:val="18"/>
                <w:lang w:val="es-ES"/>
              </w:rPr>
              <w:t>cilmente entendible</w:t>
            </w:r>
            <w:r w:rsidRPr="0004360F">
              <w:rPr>
                <w:sz w:val="18"/>
                <w:szCs w:val="18"/>
                <w:lang w:val="es-ES"/>
              </w:rPr>
              <w:t xml:space="preserve"> por el cliente y el intérprete</w:t>
            </w:r>
            <w:r w:rsidR="00F731DF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B51368" w:rsidP="00B513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adapta</w:t>
            </w:r>
            <w:r w:rsidR="007E4681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 xml:space="preserve">la </w:t>
            </w:r>
            <w:r w:rsidR="00C74F05" w:rsidRPr="0004360F">
              <w:rPr>
                <w:sz w:val="18"/>
                <w:szCs w:val="18"/>
                <w:lang w:val="es-ES"/>
              </w:rPr>
              <w:t>longitud</w:t>
            </w:r>
            <w:r w:rsidRPr="0004360F">
              <w:rPr>
                <w:sz w:val="18"/>
                <w:szCs w:val="18"/>
                <w:lang w:val="es-ES"/>
              </w:rPr>
              <w:t xml:space="preserve"> </w:t>
            </w:r>
            <w:r w:rsidR="00C74F05" w:rsidRPr="0004360F">
              <w:rPr>
                <w:sz w:val="18"/>
                <w:szCs w:val="18"/>
                <w:lang w:val="es-ES"/>
              </w:rPr>
              <w:t xml:space="preserve">de las frases </w:t>
            </w:r>
            <w:r w:rsidR="00FB033B" w:rsidRPr="0004360F">
              <w:rPr>
                <w:sz w:val="18"/>
                <w:szCs w:val="18"/>
                <w:lang w:val="es-ES"/>
              </w:rPr>
              <w:t>según</w:t>
            </w:r>
            <w:r w:rsidRPr="0004360F">
              <w:rPr>
                <w:sz w:val="18"/>
                <w:szCs w:val="18"/>
                <w:lang w:val="es-ES"/>
              </w:rPr>
              <w:t xml:space="preserve"> las habilidades del intérprete</w:t>
            </w:r>
            <w:r w:rsidR="007E4681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para expresar</w:t>
            </w:r>
            <w:r w:rsidR="007E4681" w:rsidRPr="0004360F">
              <w:rPr>
                <w:sz w:val="18"/>
                <w:szCs w:val="18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correctamente el mensaje.</w:t>
            </w:r>
          </w:p>
        </w:tc>
        <w:tc>
          <w:tcPr>
            <w:tcW w:w="479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3573" w:rsidRPr="0004360F" w:rsidRDefault="00C74F05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generalmente usa vocabulario apropiado y fá</w:t>
            </w:r>
            <w:r w:rsidR="00FB033B" w:rsidRPr="0004360F">
              <w:rPr>
                <w:sz w:val="18"/>
                <w:szCs w:val="18"/>
                <w:lang w:val="es-ES"/>
              </w:rPr>
              <w:t>cilmente entendible</w:t>
            </w:r>
            <w:r w:rsidRPr="0004360F">
              <w:rPr>
                <w:sz w:val="18"/>
                <w:szCs w:val="18"/>
                <w:lang w:val="es-ES"/>
              </w:rPr>
              <w:t xml:space="preserve"> por el cliente</w:t>
            </w:r>
            <w:r w:rsidR="0086783B" w:rsidRPr="0004360F">
              <w:rPr>
                <w:sz w:val="18"/>
                <w:szCs w:val="18"/>
                <w:lang w:val="es-ES"/>
              </w:rPr>
              <w:t xml:space="preserve">, </w:t>
            </w:r>
            <w:r w:rsidRPr="0004360F">
              <w:rPr>
                <w:sz w:val="18"/>
                <w:szCs w:val="18"/>
                <w:lang w:val="es-ES"/>
              </w:rPr>
              <w:t>con pocos fallos</w:t>
            </w:r>
            <w:r w:rsidR="00FB033B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C74F05" w:rsidP="00C74F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generalmente evita las frases largas</w:t>
            </w:r>
            <w:r w:rsidR="0086783B" w:rsidRPr="0004360F">
              <w:rPr>
                <w:sz w:val="18"/>
                <w:szCs w:val="18"/>
                <w:lang w:val="es-ES"/>
              </w:rPr>
              <w:t xml:space="preserve">, </w:t>
            </w:r>
            <w:r w:rsidRPr="0004360F">
              <w:rPr>
                <w:sz w:val="18"/>
                <w:szCs w:val="18"/>
                <w:lang w:val="es-ES"/>
              </w:rPr>
              <w:t>pero a veces habla demasiado bajo presión</w:t>
            </w:r>
            <w:r w:rsidR="0086783B" w:rsidRPr="0004360F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03573" w:rsidRPr="0004360F" w:rsidRDefault="00C74F05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pocas veces modifica su uso del lenguaje según la situación</w:t>
            </w:r>
            <w:r w:rsidR="003F3E7E" w:rsidRPr="0004360F">
              <w:rPr>
                <w:sz w:val="18"/>
                <w:szCs w:val="18"/>
                <w:lang w:val="es-ES"/>
              </w:rPr>
              <w:t>.</w:t>
            </w:r>
          </w:p>
          <w:p w:rsidR="00C03573" w:rsidRPr="0004360F" w:rsidRDefault="00C74F05" w:rsidP="00C74F0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 PROVEEDOR interrumpe a menudo al intérprete o le pide repetir frases que el PROVEEDOR se ha perdido.</w:t>
            </w:r>
          </w:p>
        </w:tc>
      </w:tr>
      <w:tr w:rsidR="0086783B" w:rsidRPr="0004360F" w:rsidTr="00D375CF">
        <w:tc>
          <w:tcPr>
            <w:tcW w:w="14580" w:type="dxa"/>
            <w:gridSpan w:val="3"/>
            <w:shd w:val="clear" w:color="auto" w:fill="8DB3E2" w:themeFill="text2" w:themeFillTint="66"/>
            <w:vAlign w:val="center"/>
          </w:tcPr>
          <w:p w:rsidR="0086783B" w:rsidRPr="0004360F" w:rsidRDefault="0086783B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 xml:space="preserve">4. </w:t>
            </w:r>
            <w:r w:rsidR="00751EEC" w:rsidRPr="0004360F">
              <w:rPr>
                <w:sz w:val="20"/>
                <w:szCs w:val="20"/>
                <w:lang w:val="es-ES"/>
              </w:rPr>
              <w:t>Competencia Cultural</w:t>
            </w:r>
          </w:p>
          <w:p w:rsidR="0086783B" w:rsidRPr="0004360F" w:rsidRDefault="00751EEC" w:rsidP="00751EEC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 xml:space="preserve">EL PROVEEDOR es consciente de las barreras de comunicación </w:t>
            </w:r>
            <w:r w:rsidRPr="0004360F">
              <w:rPr>
                <w:sz w:val="20"/>
                <w:szCs w:val="20"/>
                <w:u w:val="single"/>
                <w:lang w:val="es-ES"/>
              </w:rPr>
              <w:t>específicas a/propios de</w:t>
            </w:r>
            <w:r w:rsidRPr="0004360F">
              <w:rPr>
                <w:sz w:val="20"/>
                <w:szCs w:val="20"/>
                <w:lang w:val="es-ES"/>
              </w:rPr>
              <w:t xml:space="preserve"> la cultura y el idioma</w:t>
            </w:r>
            <w:r w:rsidR="0086783B" w:rsidRPr="0004360F">
              <w:rPr>
                <w:sz w:val="20"/>
                <w:szCs w:val="20"/>
                <w:lang w:val="es-ES"/>
              </w:rPr>
              <w:t xml:space="preserve">, </w:t>
            </w:r>
            <w:r w:rsidRPr="0004360F">
              <w:rPr>
                <w:sz w:val="20"/>
                <w:szCs w:val="20"/>
                <w:lang w:val="es-ES"/>
              </w:rPr>
              <w:t>y trabaja de manera apropiada con el intérprete para resolverlas.</w:t>
            </w:r>
          </w:p>
        </w:tc>
      </w:tr>
      <w:tr w:rsidR="00EA78EE" w:rsidRPr="0004360F" w:rsidTr="00D375CF">
        <w:tc>
          <w:tcPr>
            <w:tcW w:w="4899" w:type="dxa"/>
            <w:shd w:val="clear" w:color="auto" w:fill="C2D69B" w:themeFill="accent3" w:themeFillTint="99"/>
            <w:vAlign w:val="center"/>
          </w:tcPr>
          <w:p w:rsidR="00EA78EE" w:rsidRPr="0004360F" w:rsidRDefault="00EA78EE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Evident</w:t>
            </w:r>
            <w:r w:rsidR="007C6E65" w:rsidRPr="0004360F">
              <w:rPr>
                <w:sz w:val="20"/>
                <w:szCs w:val="20"/>
                <w:lang w:val="es-ES"/>
              </w:rPr>
              <w:t>e</w:t>
            </w:r>
            <w:r w:rsidRPr="0004360F">
              <w:rPr>
                <w:sz w:val="20"/>
                <w:szCs w:val="20"/>
                <w:lang w:val="es-ES"/>
              </w:rPr>
              <w:t xml:space="preserve"> (3)</w:t>
            </w:r>
          </w:p>
        </w:tc>
        <w:tc>
          <w:tcPr>
            <w:tcW w:w="4792" w:type="dxa"/>
            <w:shd w:val="clear" w:color="auto" w:fill="D6E3BC" w:themeFill="accent3" w:themeFillTint="66"/>
            <w:vAlign w:val="center"/>
          </w:tcPr>
          <w:p w:rsidR="00EA78EE" w:rsidRPr="0004360F" w:rsidRDefault="007C6E6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Mayormente</w:t>
            </w:r>
            <w:r w:rsidR="00EA78EE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EA78EE" w:rsidRPr="0004360F">
              <w:rPr>
                <w:sz w:val="20"/>
                <w:szCs w:val="20"/>
                <w:lang w:val="es-ES"/>
              </w:rPr>
              <w:t xml:space="preserve"> (2)</w:t>
            </w:r>
          </w:p>
        </w:tc>
        <w:tc>
          <w:tcPr>
            <w:tcW w:w="4889" w:type="dxa"/>
            <w:shd w:val="clear" w:color="auto" w:fill="E5B8B7" w:themeFill="accent2" w:themeFillTint="66"/>
            <w:vAlign w:val="center"/>
          </w:tcPr>
          <w:p w:rsidR="00EA78EE" w:rsidRPr="0004360F" w:rsidRDefault="007C6E65" w:rsidP="00B52A20">
            <w:pPr>
              <w:rPr>
                <w:sz w:val="20"/>
                <w:szCs w:val="20"/>
                <w:lang w:val="es-ES"/>
              </w:rPr>
            </w:pPr>
            <w:r w:rsidRPr="0004360F">
              <w:rPr>
                <w:sz w:val="20"/>
                <w:szCs w:val="20"/>
                <w:lang w:val="es-ES"/>
              </w:rPr>
              <w:t>No</w:t>
            </w:r>
            <w:r w:rsidR="00EA78EE" w:rsidRPr="0004360F">
              <w:rPr>
                <w:sz w:val="20"/>
                <w:szCs w:val="20"/>
                <w:lang w:val="es-ES"/>
              </w:rPr>
              <w:t xml:space="preserve"> evident</w:t>
            </w:r>
            <w:r w:rsidRPr="0004360F">
              <w:rPr>
                <w:sz w:val="20"/>
                <w:szCs w:val="20"/>
                <w:lang w:val="es-ES"/>
              </w:rPr>
              <w:t>e</w:t>
            </w:r>
            <w:r w:rsidR="00EA78EE" w:rsidRPr="0004360F">
              <w:rPr>
                <w:sz w:val="20"/>
                <w:szCs w:val="20"/>
                <w:lang w:val="es-ES"/>
              </w:rPr>
              <w:t xml:space="preserve"> (1)</w:t>
            </w:r>
          </w:p>
        </w:tc>
      </w:tr>
      <w:tr w:rsidR="00EA78EE" w:rsidRPr="0004360F" w:rsidTr="00D375CF">
        <w:tc>
          <w:tcPr>
            <w:tcW w:w="4899" w:type="dxa"/>
            <w:shd w:val="clear" w:color="auto" w:fill="C2D69B" w:themeFill="accent3" w:themeFillTint="99"/>
            <w:vAlign w:val="center"/>
          </w:tcPr>
          <w:p w:rsidR="00FB033B" w:rsidRPr="0004360F" w:rsidRDefault="00FB033B" w:rsidP="00FB03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t>EL</w:t>
            </w:r>
            <w:r w:rsidR="00C74F05" w:rsidRPr="0004360F">
              <w:rPr>
                <w:sz w:val="18"/>
                <w:szCs w:val="18"/>
                <w:lang w:val="es-ES"/>
              </w:rPr>
              <w:t xml:space="preserve"> PROVEEDOR es conscient</w:t>
            </w:r>
            <w:r w:rsidR="00236448" w:rsidRPr="0004360F">
              <w:rPr>
                <w:sz w:val="18"/>
                <w:szCs w:val="18"/>
                <w:lang w:val="es-ES"/>
              </w:rPr>
              <w:t xml:space="preserve">e de los términos que </w:t>
            </w:r>
            <w:r w:rsidR="00C74F05" w:rsidRPr="0004360F">
              <w:rPr>
                <w:sz w:val="18"/>
                <w:szCs w:val="18"/>
                <w:lang w:val="es-ES"/>
              </w:rPr>
              <w:t xml:space="preserve">no tengan </w:t>
            </w:r>
            <w:r w:rsidR="00523BEC" w:rsidRPr="0004360F">
              <w:rPr>
                <w:sz w:val="18"/>
                <w:szCs w:val="18"/>
                <w:lang w:val="es-ES"/>
              </w:rPr>
              <w:t>equivalentes</w:t>
            </w:r>
            <w:r w:rsidR="00236448" w:rsidRPr="0004360F">
              <w:rPr>
                <w:sz w:val="18"/>
                <w:szCs w:val="18"/>
                <w:lang w:val="es-ES"/>
              </w:rPr>
              <w:t xml:space="preserve"> exactos en el idioma de origen y el id</w:t>
            </w:r>
            <w:r w:rsidR="00523BEC" w:rsidRPr="0004360F">
              <w:rPr>
                <w:sz w:val="18"/>
                <w:szCs w:val="18"/>
                <w:lang w:val="es-ES"/>
              </w:rPr>
              <w:t>i</w:t>
            </w:r>
            <w:r w:rsidR="00236448" w:rsidRPr="0004360F">
              <w:rPr>
                <w:sz w:val="18"/>
                <w:szCs w:val="18"/>
                <w:lang w:val="es-ES"/>
              </w:rPr>
              <w:t xml:space="preserve">oma meta, y trabaja con el intérprete </w:t>
            </w:r>
            <w:r w:rsidRPr="0004360F">
              <w:rPr>
                <w:sz w:val="18"/>
                <w:szCs w:val="18"/>
                <w:lang w:val="es-ES"/>
              </w:rPr>
              <w:t xml:space="preserve">para </w:t>
            </w:r>
            <w:r w:rsidR="00236448" w:rsidRPr="0004360F">
              <w:rPr>
                <w:sz w:val="18"/>
                <w:szCs w:val="18"/>
                <w:lang w:val="es-ES"/>
              </w:rPr>
              <w:t>ab</w:t>
            </w:r>
            <w:r w:rsidRPr="0004360F">
              <w:rPr>
                <w:sz w:val="18"/>
                <w:szCs w:val="18"/>
                <w:lang w:val="es-ES"/>
              </w:rPr>
              <w:t>ordarlo.</w:t>
            </w:r>
          </w:p>
          <w:p w:rsidR="00EA78EE" w:rsidRPr="0004360F" w:rsidRDefault="00FB033B" w:rsidP="001B030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lastRenderedPageBreak/>
              <w:t>EL</w:t>
            </w:r>
            <w:r w:rsidR="00523BEC" w:rsidRPr="0004360F">
              <w:rPr>
                <w:sz w:val="18"/>
                <w:szCs w:val="18"/>
                <w:lang w:val="es-ES"/>
              </w:rPr>
              <w:t xml:space="preserve"> PROVEEDOR es consciente de los</w:t>
            </w:r>
            <w:r w:rsidR="00EA78EE" w:rsidRPr="0004360F">
              <w:rPr>
                <w:sz w:val="18"/>
                <w:szCs w:val="18"/>
                <w:lang w:val="es-ES"/>
              </w:rPr>
              <w:t xml:space="preserve"> </w:t>
            </w:r>
            <w:r w:rsidR="001B0306" w:rsidRPr="0004360F">
              <w:rPr>
                <w:sz w:val="18"/>
                <w:szCs w:val="18"/>
                <w:lang w:val="es-ES"/>
              </w:rPr>
              <w:t>códigos culturales</w:t>
            </w:r>
            <w:bookmarkStart w:id="0" w:name="_GoBack"/>
            <w:r w:rsidR="0004360F" w:rsidRPr="0004360F">
              <w:rPr>
                <w:sz w:val="18"/>
                <w:szCs w:val="18"/>
                <w:lang w:val="es-ES"/>
              </w:rPr>
              <w:t xml:space="preserve"> </w:t>
            </w:r>
            <w:bookmarkEnd w:id="0"/>
            <w:r w:rsidR="00363F23" w:rsidRPr="0004360F">
              <w:rPr>
                <w:sz w:val="18"/>
                <w:szCs w:val="18"/>
                <w:lang w:val="es-ES"/>
              </w:rPr>
              <w:t xml:space="preserve">y </w:t>
            </w:r>
            <w:r w:rsidRPr="0004360F">
              <w:rPr>
                <w:sz w:val="18"/>
                <w:szCs w:val="18"/>
                <w:lang w:val="es-ES"/>
              </w:rPr>
              <w:t xml:space="preserve">se </w:t>
            </w:r>
            <w:r w:rsidR="00363F23" w:rsidRPr="0004360F">
              <w:rPr>
                <w:sz w:val="18"/>
                <w:szCs w:val="18"/>
                <w:lang w:val="es-ES"/>
              </w:rPr>
              <w:t>comunica con destreza a través del intérprete para llegar a entenderse bien con el cliente.</w:t>
            </w:r>
          </w:p>
        </w:tc>
        <w:tc>
          <w:tcPr>
            <w:tcW w:w="4792" w:type="dxa"/>
            <w:shd w:val="clear" w:color="auto" w:fill="D6E3BC" w:themeFill="accent3" w:themeFillTint="66"/>
            <w:vAlign w:val="center"/>
          </w:tcPr>
          <w:p w:rsidR="00EA78EE" w:rsidRPr="0004360F" w:rsidRDefault="00D1743B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lastRenderedPageBreak/>
              <w:t>E</w:t>
            </w:r>
            <w:r w:rsidR="00FB033B" w:rsidRPr="0004360F">
              <w:rPr>
                <w:sz w:val="18"/>
                <w:szCs w:val="18"/>
                <w:lang w:val="es-ES"/>
              </w:rPr>
              <w:t>L</w:t>
            </w:r>
            <w:r w:rsidRPr="0004360F">
              <w:rPr>
                <w:sz w:val="18"/>
                <w:szCs w:val="18"/>
                <w:lang w:val="es-ES"/>
              </w:rPr>
              <w:t xml:space="preserve"> PROVEEDOR generalmente es consciente de los términos problemáticos</w:t>
            </w:r>
            <w:r w:rsidR="00EA78EE" w:rsidRPr="0004360F">
              <w:rPr>
                <w:sz w:val="18"/>
                <w:szCs w:val="18"/>
                <w:lang w:val="es-ES"/>
              </w:rPr>
              <w:t xml:space="preserve">, </w:t>
            </w:r>
            <w:r w:rsidRPr="0004360F">
              <w:rPr>
                <w:sz w:val="18"/>
                <w:szCs w:val="18"/>
                <w:lang w:val="es-ES"/>
              </w:rPr>
              <w:t xml:space="preserve">pero </w:t>
            </w:r>
            <w:r w:rsidR="00FB033B" w:rsidRPr="0004360F">
              <w:rPr>
                <w:sz w:val="18"/>
                <w:szCs w:val="18"/>
                <w:lang w:val="es-ES"/>
              </w:rPr>
              <w:t>la reacción hacia ellos puede ser lenta o imprecisa.</w:t>
            </w:r>
          </w:p>
          <w:p w:rsidR="00EA78EE" w:rsidRPr="0004360F" w:rsidRDefault="00FB033B" w:rsidP="000D2E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lastRenderedPageBreak/>
              <w:t>EL</w:t>
            </w:r>
            <w:r w:rsidR="000D2EC9" w:rsidRPr="0004360F">
              <w:rPr>
                <w:sz w:val="18"/>
                <w:szCs w:val="18"/>
                <w:lang w:val="es-ES"/>
              </w:rPr>
              <w:t xml:space="preserve"> PROVEEDOR generalmente es consciente de los códigos culturales pero puede depender un poco demasiado del intérprete para resolver problemas. En alguna ocasión, puede que pierda el significado de alguna palabra o concepto que se usa.</w:t>
            </w:r>
          </w:p>
        </w:tc>
        <w:tc>
          <w:tcPr>
            <w:tcW w:w="4889" w:type="dxa"/>
            <w:shd w:val="clear" w:color="auto" w:fill="E5B8B7" w:themeFill="accent2" w:themeFillTint="66"/>
            <w:vAlign w:val="center"/>
          </w:tcPr>
          <w:p w:rsidR="00EA78EE" w:rsidRPr="0004360F" w:rsidRDefault="00D1743B" w:rsidP="00B52A2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lastRenderedPageBreak/>
              <w:t xml:space="preserve">EL PROVEEDOR no se da cuenta o no </w:t>
            </w:r>
            <w:r w:rsidR="00FB033B" w:rsidRPr="0004360F">
              <w:rPr>
                <w:sz w:val="18"/>
                <w:szCs w:val="18"/>
                <w:lang w:val="es-ES"/>
              </w:rPr>
              <w:t>aborda</w:t>
            </w:r>
            <w:r w:rsidR="00FB033B" w:rsidRPr="0004360F">
              <w:rPr>
                <w:sz w:val="18"/>
                <w:szCs w:val="18"/>
                <w:u w:val="single"/>
                <w:lang w:val="es-ES"/>
              </w:rPr>
              <w:t xml:space="preserve"> </w:t>
            </w:r>
            <w:r w:rsidRPr="0004360F">
              <w:rPr>
                <w:sz w:val="18"/>
                <w:szCs w:val="18"/>
                <w:lang w:val="es-ES"/>
              </w:rPr>
              <w:t>de forma adecuada a la terminología problemática en ninguno de los idiomas, causando fallos de comunicación.</w:t>
            </w:r>
          </w:p>
          <w:p w:rsidR="00EA78EE" w:rsidRPr="0004360F" w:rsidRDefault="000D2EC9" w:rsidP="000D2E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s-ES"/>
              </w:rPr>
            </w:pPr>
            <w:r w:rsidRPr="0004360F">
              <w:rPr>
                <w:sz w:val="18"/>
                <w:szCs w:val="18"/>
                <w:lang w:val="es-ES"/>
              </w:rPr>
              <w:lastRenderedPageBreak/>
              <w:t xml:space="preserve">EL PROVEEDOR pierde por </w:t>
            </w:r>
            <w:r w:rsidR="00FB033B" w:rsidRPr="0004360F">
              <w:rPr>
                <w:sz w:val="18"/>
                <w:szCs w:val="18"/>
                <w:lang w:val="es-ES"/>
              </w:rPr>
              <w:t>completo</w:t>
            </w:r>
            <w:r w:rsidRPr="0004360F">
              <w:rPr>
                <w:sz w:val="18"/>
                <w:szCs w:val="18"/>
                <w:lang w:val="es-ES"/>
              </w:rPr>
              <w:t xml:space="preserve"> los códigos culturales, o depende demasiado del intérprete</w:t>
            </w:r>
            <w:r w:rsidR="009643A2" w:rsidRPr="0004360F">
              <w:rPr>
                <w:sz w:val="18"/>
                <w:szCs w:val="18"/>
                <w:lang w:val="es-ES"/>
              </w:rPr>
              <w:t>,</w:t>
            </w:r>
            <w:r w:rsidRPr="0004360F">
              <w:rPr>
                <w:sz w:val="18"/>
                <w:szCs w:val="18"/>
                <w:lang w:val="es-ES"/>
              </w:rPr>
              <w:t xml:space="preserve"> resultando en atrasos o fallos de comunicación.</w:t>
            </w:r>
          </w:p>
        </w:tc>
      </w:tr>
    </w:tbl>
    <w:p w:rsidR="00465BFC" w:rsidRPr="0004360F" w:rsidRDefault="00A342F5" w:rsidP="00EC404C">
      <w:pPr>
        <w:tabs>
          <w:tab w:val="left" w:pos="9240"/>
        </w:tabs>
        <w:spacing w:line="120" w:lineRule="auto"/>
        <w:rPr>
          <w:lang w:val="es-ES"/>
        </w:rPr>
      </w:pPr>
      <w:r w:rsidRPr="0004360F">
        <w:rPr>
          <w:lang w:val="es-ES"/>
        </w:rPr>
        <w:lastRenderedPageBreak/>
        <w:tab/>
      </w:r>
    </w:p>
    <w:sectPr w:rsidR="00465BFC" w:rsidRPr="0004360F" w:rsidSect="00792DF7">
      <w:headerReference w:type="default" r:id="rId7"/>
      <w:footerReference w:type="first" r:id="rId8"/>
      <w:pgSz w:w="15840" w:h="12240" w:orient="landscape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2B" w:rsidRDefault="00F32C2B" w:rsidP="0017228D">
      <w:pPr>
        <w:spacing w:after="0" w:line="240" w:lineRule="auto"/>
      </w:pPr>
      <w:r>
        <w:separator/>
      </w:r>
    </w:p>
  </w:endnote>
  <w:endnote w:type="continuationSeparator" w:id="0">
    <w:p w:rsidR="00F32C2B" w:rsidRDefault="00F32C2B" w:rsidP="0017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5E" w:rsidRDefault="00862F5E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419100</wp:posOffset>
          </wp:positionH>
          <wp:positionV relativeFrom="margin">
            <wp:posOffset>6737350</wp:posOffset>
          </wp:positionV>
          <wp:extent cx="374650" cy="496570"/>
          <wp:effectExtent l="0" t="0" r="635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-2540</wp:posOffset>
          </wp:positionV>
          <wp:extent cx="644525" cy="40132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444500</wp:posOffset>
              </wp:positionH>
              <wp:positionV relativeFrom="paragraph">
                <wp:posOffset>-65405</wp:posOffset>
              </wp:positionV>
              <wp:extent cx="787400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0" cy="495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F5E" w:rsidRPr="007C6E65" w:rsidRDefault="007C6E65" w:rsidP="00372B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  <w:r w:rsidRPr="007C6E65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es-ES"/>
                            </w:rPr>
                            <w:t xml:space="preserve">Asistencia Técnica Europea de Reasentamiento e Integración </w:t>
                          </w:r>
                          <w:r w:rsidR="00862F5E" w:rsidRPr="007C6E65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es-ES"/>
                            </w:rPr>
                            <w:t xml:space="preserve"> (EURITA)</w:t>
                          </w:r>
                          <w:r w:rsidR="00862F5E" w:rsidRPr="007C6E65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es-ES"/>
                            </w:rPr>
                            <w:br/>
                          </w:r>
                          <w:r w:rsidRPr="007C6E65"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  <w:t>Este recurso fue desarrollado por el Comité Internacional de Rescate y se adaptó para EURITA en virtud de un acuerdo financiado por el Departamento de Estado de los Estados Unidos y no asume el respaldo del Gobierno de los Estados Unidos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  <w:p w:rsidR="00862F5E" w:rsidRPr="007C6E65" w:rsidRDefault="00862F5E" w:rsidP="00C84C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-5.15pt;width:620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" fillcolor="#f2f2f2 [3052]" stroked="f" strokeweight=".5pt">
              <v:textbox>
                <w:txbxContent>
                  <w:p w:rsidR="00862F5E" w:rsidRPr="007C6E65" w:rsidRDefault="007C6E65" w:rsidP="00372BAF">
                    <w:pPr>
                      <w:jc w:val="center"/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</w:pPr>
                    <w:r w:rsidRPr="007C6E65"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  <w:t>Asistencia Técnica Europea de Reasentamiento e Integración</w:t>
                    </w:r>
                    <w:r w:rsidRPr="007C6E65"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862F5E" w:rsidRPr="007C6E65"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  <w:t xml:space="preserve"> (EURITA)</w:t>
                    </w:r>
                    <w:r w:rsidR="00862F5E" w:rsidRPr="007C6E65"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  <w:br/>
                    </w:r>
                    <w:r w:rsidRPr="007C6E65"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  <w:t>Este recurso fue desarrollado por el Comité Internacional de Rescate y se adaptó para EURITA en virtud de un acuerdo financiado por el Departamento de Estado de los Estados Unidos y no asume el respaldo del Gobierno de los Estados Unidos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  <w:t>.</w:t>
                    </w:r>
                  </w:p>
                  <w:p w:rsidR="00862F5E" w:rsidRPr="007C6E65" w:rsidRDefault="00862F5E" w:rsidP="00C84C0E">
                    <w:pPr>
                      <w:jc w:val="center"/>
                      <w:rPr>
                        <w:rFonts w:ascii="Arial" w:hAnsi="Arial" w:cs="Arial"/>
                        <w:b/>
                        <w:sz w:val="17"/>
                        <w:szCs w:val="17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 w:bidi="ar-SA"/>
      </w:rPr>
      <w:t xml:space="preserve">  </w:t>
    </w:r>
  </w:p>
  <w:p w:rsidR="00862F5E" w:rsidRPr="00D375CF" w:rsidRDefault="00862F5E" w:rsidP="00D375CF">
    <w:pPr>
      <w:pStyle w:val="Footer"/>
      <w:jc w:val="center"/>
      <w:rPr>
        <w:b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2B" w:rsidRDefault="00F32C2B" w:rsidP="0017228D">
      <w:pPr>
        <w:spacing w:after="0" w:line="240" w:lineRule="auto"/>
      </w:pPr>
      <w:r>
        <w:separator/>
      </w:r>
    </w:p>
  </w:footnote>
  <w:footnote w:type="continuationSeparator" w:id="0">
    <w:p w:rsidR="00F32C2B" w:rsidRDefault="00F32C2B" w:rsidP="0017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5E" w:rsidRDefault="00862F5E" w:rsidP="0017228D">
    <w:pPr>
      <w:pStyle w:val="Header"/>
      <w:jc w:val="center"/>
      <w:rPr>
        <w:b/>
        <w:bCs/>
      </w:rPr>
    </w:pPr>
    <w:r>
      <w:rPr>
        <w:b/>
        <w:bCs/>
      </w:rPr>
      <w:t>Monitoring guide for observing caseworker best practices when working with interpreters</w:t>
    </w:r>
  </w:p>
  <w:p w:rsidR="00862F5E" w:rsidRPr="0017228D" w:rsidRDefault="00862F5E" w:rsidP="0017228D">
    <w:pPr>
      <w:pStyle w:val="Header"/>
    </w:pPr>
    <w:r>
      <w:rPr>
        <w:b/>
        <w:bCs/>
      </w:rPr>
      <w:t>Instructions:</w:t>
    </w:r>
    <w:r>
      <w:t xml:space="preserve"> Monitor will observe an entire interview and will score it based on the caseworker’s display of each of the four categories of best practices listed below, adding to obtain a total numerical score. This evaluation should not make allowances for interpreter performance.</w:t>
    </w:r>
    <w:r w:rsidRPr="00D23F17">
      <w:t xml:space="preserve"> </w:t>
    </w:r>
    <w:r>
      <w:t>The maximum total score is 12, and 10 is the minimum score for an “evident” rating. Any score of 7 or above should be considered within the range of good practice, unless the CW scores a 1 in categories 2, 3, or 4, in which case the score is capped at 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F75"/>
    <w:multiLevelType w:val="hybridMultilevel"/>
    <w:tmpl w:val="38C0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B1010"/>
    <w:multiLevelType w:val="hybridMultilevel"/>
    <w:tmpl w:val="C01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2899"/>
    <w:multiLevelType w:val="hybridMultilevel"/>
    <w:tmpl w:val="0A82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3529"/>
    <w:multiLevelType w:val="hybridMultilevel"/>
    <w:tmpl w:val="4D20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E5998"/>
    <w:multiLevelType w:val="hybridMultilevel"/>
    <w:tmpl w:val="9454F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D6C53"/>
    <w:multiLevelType w:val="hybridMultilevel"/>
    <w:tmpl w:val="CDA02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416B9"/>
    <w:multiLevelType w:val="hybridMultilevel"/>
    <w:tmpl w:val="FDB0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C3456"/>
    <w:multiLevelType w:val="hybridMultilevel"/>
    <w:tmpl w:val="306A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3577"/>
    <w:rsid w:val="00004182"/>
    <w:rsid w:val="000049D1"/>
    <w:rsid w:val="00041EC0"/>
    <w:rsid w:val="0004360F"/>
    <w:rsid w:val="00047B9E"/>
    <w:rsid w:val="00060C5E"/>
    <w:rsid w:val="000762D9"/>
    <w:rsid w:val="00084455"/>
    <w:rsid w:val="00090C48"/>
    <w:rsid w:val="000A78B3"/>
    <w:rsid w:val="000A7DE9"/>
    <w:rsid w:val="000D2EC9"/>
    <w:rsid w:val="001259E3"/>
    <w:rsid w:val="001544A8"/>
    <w:rsid w:val="00165529"/>
    <w:rsid w:val="00165652"/>
    <w:rsid w:val="0017228D"/>
    <w:rsid w:val="001A5090"/>
    <w:rsid w:val="001B0306"/>
    <w:rsid w:val="001D60CA"/>
    <w:rsid w:val="00220FC8"/>
    <w:rsid w:val="002315FD"/>
    <w:rsid w:val="00233436"/>
    <w:rsid w:val="00236448"/>
    <w:rsid w:val="0023749A"/>
    <w:rsid w:val="00283F1F"/>
    <w:rsid w:val="002850D9"/>
    <w:rsid w:val="0029018C"/>
    <w:rsid w:val="002B265C"/>
    <w:rsid w:val="002B4E59"/>
    <w:rsid w:val="002B6081"/>
    <w:rsid w:val="002C5DF3"/>
    <w:rsid w:val="002D0BF9"/>
    <w:rsid w:val="002E1F9B"/>
    <w:rsid w:val="00311BDA"/>
    <w:rsid w:val="00343CAA"/>
    <w:rsid w:val="00363F23"/>
    <w:rsid w:val="00372BAF"/>
    <w:rsid w:val="003764B3"/>
    <w:rsid w:val="003A1428"/>
    <w:rsid w:val="003A58CE"/>
    <w:rsid w:val="003F3447"/>
    <w:rsid w:val="003F3E7E"/>
    <w:rsid w:val="00405169"/>
    <w:rsid w:val="00465BFC"/>
    <w:rsid w:val="00492853"/>
    <w:rsid w:val="004B1933"/>
    <w:rsid w:val="004C43A7"/>
    <w:rsid w:val="005037DC"/>
    <w:rsid w:val="00523BEC"/>
    <w:rsid w:val="0054425E"/>
    <w:rsid w:val="00550454"/>
    <w:rsid w:val="005673ED"/>
    <w:rsid w:val="0057149B"/>
    <w:rsid w:val="00573021"/>
    <w:rsid w:val="00585BDF"/>
    <w:rsid w:val="00587E56"/>
    <w:rsid w:val="0059480D"/>
    <w:rsid w:val="005A5B0F"/>
    <w:rsid w:val="005F7C3D"/>
    <w:rsid w:val="00602A91"/>
    <w:rsid w:val="00625F4C"/>
    <w:rsid w:val="00637A9D"/>
    <w:rsid w:val="00657416"/>
    <w:rsid w:val="006655DA"/>
    <w:rsid w:val="006716E5"/>
    <w:rsid w:val="006D4DEE"/>
    <w:rsid w:val="00720CF3"/>
    <w:rsid w:val="00751EEC"/>
    <w:rsid w:val="00792DF7"/>
    <w:rsid w:val="007C6E65"/>
    <w:rsid w:val="007E4681"/>
    <w:rsid w:val="007F2F9D"/>
    <w:rsid w:val="00801E22"/>
    <w:rsid w:val="00825206"/>
    <w:rsid w:val="00841BDE"/>
    <w:rsid w:val="00842D03"/>
    <w:rsid w:val="00862480"/>
    <w:rsid w:val="00862F5E"/>
    <w:rsid w:val="0086783B"/>
    <w:rsid w:val="008C6236"/>
    <w:rsid w:val="008F3CDF"/>
    <w:rsid w:val="008F60C8"/>
    <w:rsid w:val="009424BE"/>
    <w:rsid w:val="00953455"/>
    <w:rsid w:val="009643A2"/>
    <w:rsid w:val="009A2D51"/>
    <w:rsid w:val="009F788A"/>
    <w:rsid w:val="00A33F91"/>
    <w:rsid w:val="00A342F5"/>
    <w:rsid w:val="00A421D1"/>
    <w:rsid w:val="00A518C5"/>
    <w:rsid w:val="00A56016"/>
    <w:rsid w:val="00AB09B7"/>
    <w:rsid w:val="00AD1764"/>
    <w:rsid w:val="00AF7795"/>
    <w:rsid w:val="00B06EC0"/>
    <w:rsid w:val="00B42632"/>
    <w:rsid w:val="00B51368"/>
    <w:rsid w:val="00B526A0"/>
    <w:rsid w:val="00B52A20"/>
    <w:rsid w:val="00B726C2"/>
    <w:rsid w:val="00B778CD"/>
    <w:rsid w:val="00BA539E"/>
    <w:rsid w:val="00BC66B1"/>
    <w:rsid w:val="00BD2D97"/>
    <w:rsid w:val="00C03573"/>
    <w:rsid w:val="00C35862"/>
    <w:rsid w:val="00C74F05"/>
    <w:rsid w:val="00C84C0E"/>
    <w:rsid w:val="00C963A7"/>
    <w:rsid w:val="00CA5B22"/>
    <w:rsid w:val="00CC4C30"/>
    <w:rsid w:val="00CE04A0"/>
    <w:rsid w:val="00CF5746"/>
    <w:rsid w:val="00CF5A80"/>
    <w:rsid w:val="00CF7FC8"/>
    <w:rsid w:val="00D03F23"/>
    <w:rsid w:val="00D15492"/>
    <w:rsid w:val="00D1743B"/>
    <w:rsid w:val="00D23F17"/>
    <w:rsid w:val="00D375CF"/>
    <w:rsid w:val="00D732E3"/>
    <w:rsid w:val="00D84CF1"/>
    <w:rsid w:val="00D9435E"/>
    <w:rsid w:val="00D973AE"/>
    <w:rsid w:val="00DB0DB4"/>
    <w:rsid w:val="00DD4FAC"/>
    <w:rsid w:val="00DE3F4A"/>
    <w:rsid w:val="00E32B13"/>
    <w:rsid w:val="00E50C40"/>
    <w:rsid w:val="00E65A57"/>
    <w:rsid w:val="00EA1D12"/>
    <w:rsid w:val="00EA4987"/>
    <w:rsid w:val="00EA4B4D"/>
    <w:rsid w:val="00EA78EE"/>
    <w:rsid w:val="00EC404C"/>
    <w:rsid w:val="00EE282F"/>
    <w:rsid w:val="00EE73C6"/>
    <w:rsid w:val="00F0617C"/>
    <w:rsid w:val="00F20C6C"/>
    <w:rsid w:val="00F25F5D"/>
    <w:rsid w:val="00F32C2B"/>
    <w:rsid w:val="00F731DF"/>
    <w:rsid w:val="00F86045"/>
    <w:rsid w:val="00F93FB2"/>
    <w:rsid w:val="00FA22EA"/>
    <w:rsid w:val="00FA699A"/>
    <w:rsid w:val="00FB033B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DE85D-2CFC-44D5-B231-BAE38DE2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8D"/>
  </w:style>
  <w:style w:type="paragraph" w:styleId="Footer">
    <w:name w:val="footer"/>
    <w:basedOn w:val="Normal"/>
    <w:link w:val="FooterChar"/>
    <w:uiPriority w:val="99"/>
    <w:unhideWhenUsed/>
    <w:rsid w:val="00172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tamberh</dc:creator>
  <cp:lastModifiedBy>Marissa Oliver</cp:lastModifiedBy>
  <cp:revision>12</cp:revision>
  <cp:lastPrinted>2013-08-16T05:12:00Z</cp:lastPrinted>
  <dcterms:created xsi:type="dcterms:W3CDTF">2019-07-22T22:28:00Z</dcterms:created>
  <dcterms:modified xsi:type="dcterms:W3CDTF">2019-08-02T21:31:00Z</dcterms:modified>
</cp:coreProperties>
</file>